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B7" w:rsidRDefault="00174474">
      <w:pPr>
        <w:tabs>
          <w:tab w:val="left" w:pos="993"/>
          <w:tab w:val="left" w:pos="9720"/>
        </w:tabs>
        <w:jc w:val="center"/>
        <w:rPr>
          <w:b/>
          <w:bCs/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>СООБЩЕНИЕ</w:t>
      </w:r>
    </w:p>
    <w:p w:rsidR="00981CB7" w:rsidRDefault="00174474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bCs/>
          <w:color w:val="000000" w:themeColor="text1"/>
          <w:spacing w:val="-6"/>
        </w:rPr>
      </w:pPr>
      <w:r>
        <w:rPr>
          <w:b/>
          <w:bCs/>
          <w:color w:val="000000" w:themeColor="text1"/>
          <w:spacing w:val="-6"/>
        </w:rPr>
        <w:t>о проведении годового заседания общего собрания акционеров</w:t>
      </w:r>
    </w:p>
    <w:p w:rsidR="00981CB7" w:rsidRDefault="00174474">
      <w:pPr>
        <w:shd w:val="clear" w:color="auto" w:fill="FFFFFF"/>
        <w:tabs>
          <w:tab w:val="left" w:pos="993"/>
          <w:tab w:val="left" w:leader="underscore" w:pos="8789"/>
        </w:tabs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АО «Газпром газораспределение Элиста»</w:t>
      </w:r>
    </w:p>
    <w:p w:rsidR="00981CB7" w:rsidRDefault="00981CB7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bCs/>
          <w:color w:val="000000" w:themeColor="text1"/>
          <w:sz w:val="12"/>
          <w:szCs w:val="12"/>
        </w:rPr>
      </w:pPr>
    </w:p>
    <w:p w:rsidR="00981CB7" w:rsidRDefault="00174474">
      <w:pPr>
        <w:pStyle w:val="1"/>
        <w:tabs>
          <w:tab w:val="left" w:pos="993"/>
          <w:tab w:val="left" w:pos="9720"/>
        </w:tabs>
        <w:spacing w:after="60"/>
        <w:rPr>
          <w:color w:val="000000" w:themeColor="text1"/>
          <w:spacing w:val="0"/>
          <w:sz w:val="24"/>
          <w:szCs w:val="24"/>
        </w:rPr>
      </w:pPr>
      <w:r>
        <w:rPr>
          <w:color w:val="000000" w:themeColor="text1"/>
          <w:spacing w:val="0"/>
          <w:sz w:val="24"/>
          <w:szCs w:val="24"/>
        </w:rPr>
        <w:t>УВАЖАЕМЫЙ АКЦИОНЕР!</w:t>
      </w:r>
    </w:p>
    <w:p w:rsidR="00981CB7" w:rsidRDefault="00981CB7">
      <w:pPr>
        <w:rPr>
          <w:sz w:val="12"/>
          <w:szCs w:val="12"/>
        </w:rPr>
      </w:pPr>
    </w:p>
    <w:p w:rsidR="00981CB7" w:rsidRDefault="00174474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color w:val="000000" w:themeColor="text1"/>
          <w:spacing w:val="-2"/>
        </w:rPr>
      </w:pPr>
      <w:r>
        <w:rPr>
          <w:bCs/>
          <w:iCs/>
          <w:color w:val="000000" w:themeColor="text1"/>
        </w:rPr>
        <w:t>Акционерное общество «Газпром газораспределение Элиста»</w:t>
      </w:r>
      <w:r>
        <w:rPr>
          <w:iCs/>
          <w:color w:val="000000" w:themeColor="text1"/>
        </w:rPr>
        <w:t xml:space="preserve"> (далее - Общество) </w:t>
      </w:r>
      <w:r>
        <w:rPr>
          <w:color w:val="000000" w:themeColor="text1"/>
        </w:rPr>
        <w:t>уведомляет Вас о проведении годового</w:t>
      </w:r>
      <w:r>
        <w:t xml:space="preserve"> </w:t>
      </w:r>
      <w:r>
        <w:rPr>
          <w:color w:val="000000" w:themeColor="text1"/>
        </w:rPr>
        <w:t>заседания о</w:t>
      </w:r>
      <w:r>
        <w:rPr>
          <w:color w:val="000000" w:themeColor="text1"/>
          <w:spacing w:val="-2"/>
        </w:rPr>
        <w:t>бщего собрания акционеров</w:t>
      </w:r>
      <w:r>
        <w:rPr>
          <w:b/>
          <w:color w:val="000000" w:themeColor="text1"/>
          <w:spacing w:val="-2"/>
        </w:rPr>
        <w:t>.</w:t>
      </w:r>
    </w:p>
    <w:p w:rsidR="00981CB7" w:rsidRDefault="00174474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spacing w:val="-2"/>
        </w:rPr>
      </w:pPr>
      <w:r>
        <w:rPr>
          <w:color w:val="000000" w:themeColor="text1"/>
          <w:spacing w:val="-2"/>
        </w:rPr>
        <w:t>Способ принятия решений общим собранием акционеров:</w:t>
      </w:r>
      <w:r>
        <w:rPr>
          <w:b/>
          <w:color w:val="000000" w:themeColor="text1"/>
          <w:spacing w:val="-2"/>
        </w:rPr>
        <w:t xml:space="preserve"> </w:t>
      </w:r>
      <w:r>
        <w:rPr>
          <w:b/>
          <w:bCs/>
          <w:color w:val="000000" w:themeColor="text1"/>
        </w:rPr>
        <w:t>заседание, совмещенное с заочным голосованием, без возможности дистанционного участия в заседании.</w:t>
      </w:r>
    </w:p>
    <w:p w:rsidR="00981CB7" w:rsidRDefault="00174474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color w:val="000000" w:themeColor="text1"/>
          <w:spacing w:val="-2"/>
        </w:rPr>
      </w:pPr>
      <w:r>
        <w:rPr>
          <w:rFonts w:eastAsiaTheme="minorHAnsi"/>
          <w:bCs/>
          <w:color w:val="000000" w:themeColor="text1"/>
          <w:lang w:eastAsia="en-US"/>
        </w:rPr>
        <w:t xml:space="preserve">Место нахождения Общества: </w:t>
      </w:r>
      <w:r>
        <w:rPr>
          <w:b/>
          <w:color w:val="000000" w:themeColor="text1"/>
          <w:spacing w:val="-2"/>
        </w:rPr>
        <w:t>Российская Федерация, г. </w:t>
      </w:r>
      <w:r>
        <w:rPr>
          <w:b/>
          <w:iCs/>
          <w:color w:val="000000" w:themeColor="text1"/>
          <w:spacing w:val="-1"/>
        </w:rPr>
        <w:t>Элиста</w:t>
      </w:r>
      <w:r>
        <w:rPr>
          <w:b/>
          <w:color w:val="000000" w:themeColor="text1"/>
          <w:spacing w:val="-2"/>
        </w:rPr>
        <w:t>.</w:t>
      </w:r>
    </w:p>
    <w:p w:rsidR="00981CB7" w:rsidRDefault="00174474">
      <w:pPr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  <w:r>
        <w:rPr>
          <w:rFonts w:eastAsiaTheme="minorHAnsi"/>
          <w:bCs/>
          <w:color w:val="000000" w:themeColor="text1"/>
          <w:lang w:eastAsia="en-US"/>
        </w:rPr>
        <w:t>Место проведения г</w:t>
      </w:r>
      <w:r>
        <w:rPr>
          <w:rFonts w:eastAsiaTheme="minorHAnsi"/>
          <w:bCs/>
          <w:color w:val="000000" w:themeColor="text1"/>
          <w:lang w:eastAsia="en-US"/>
        </w:rPr>
        <w:t>одового заседания общего собрания акционеров:</w:t>
      </w:r>
      <w:r>
        <w:t xml:space="preserve"> </w:t>
      </w:r>
      <w:r>
        <w:rPr>
          <w:b/>
          <w:iCs/>
          <w:color w:val="000000" w:themeColor="text1"/>
          <w:spacing w:val="-1"/>
        </w:rPr>
        <w:t>Республика Калмыкия, г. Элиста, ул. В.И. Ленина, д. 272</w:t>
      </w:r>
      <w:r>
        <w:rPr>
          <w:rFonts w:eastAsiaTheme="minorHAnsi"/>
          <w:b/>
          <w:bCs/>
          <w:color w:val="000000" w:themeColor="text1"/>
          <w:lang w:eastAsia="en-US"/>
        </w:rPr>
        <w:t>, АО «Газпром газораспределение Элиста».</w:t>
      </w:r>
    </w:p>
    <w:p w:rsidR="00981CB7" w:rsidRDefault="00174474">
      <w:pPr>
        <w:ind w:firstLine="709"/>
        <w:jc w:val="both"/>
        <w:rPr>
          <w:b/>
          <w:bCs/>
          <w:color w:val="000000" w:themeColor="text1"/>
        </w:rPr>
      </w:pPr>
      <w:r>
        <w:rPr>
          <w:bCs/>
          <w:color w:val="000000" w:themeColor="text1"/>
        </w:rPr>
        <w:t>Дата проведения</w:t>
      </w:r>
      <w:r>
        <w:t xml:space="preserve"> </w:t>
      </w:r>
      <w:r>
        <w:rPr>
          <w:bCs/>
          <w:color w:val="000000" w:themeColor="text1"/>
        </w:rPr>
        <w:t>годового заседания общего собрания акционеров</w:t>
      </w:r>
      <w:r>
        <w:rPr>
          <w:rFonts w:eastAsiaTheme="minorHAnsi"/>
          <w:bCs/>
          <w:color w:val="000000" w:themeColor="text1"/>
          <w:lang w:eastAsia="en-US"/>
        </w:rPr>
        <w:t>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29.06.</w:t>
      </w:r>
      <w:r>
        <w:rPr>
          <w:b/>
          <w:bCs/>
          <w:color w:val="000000" w:themeColor="text1"/>
        </w:rPr>
        <w:t>2026.</w:t>
      </w:r>
    </w:p>
    <w:p w:rsidR="00981CB7" w:rsidRDefault="00174474">
      <w:pPr>
        <w:ind w:firstLine="709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lang w:eastAsia="en-US"/>
        </w:rPr>
        <w:t>Время проведения годового з</w:t>
      </w:r>
      <w:r>
        <w:rPr>
          <w:rFonts w:eastAsiaTheme="minorHAnsi"/>
          <w:bCs/>
          <w:color w:val="000000" w:themeColor="text1"/>
          <w:lang w:eastAsia="en-US"/>
        </w:rPr>
        <w:t>аседания общего собрания акционеров: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09 часов 00</w:t>
      </w:r>
      <w:r>
        <w:rPr>
          <w:b/>
          <w:bCs/>
          <w:color w:val="000000" w:themeColor="text1"/>
          <w:lang w:eastAsia="en-US"/>
        </w:rPr>
        <w:t> </w:t>
      </w:r>
      <w:r>
        <w:rPr>
          <w:rFonts w:eastAsiaTheme="minorHAnsi"/>
          <w:b/>
          <w:bCs/>
          <w:color w:val="000000" w:themeColor="text1"/>
          <w:lang w:eastAsia="en-US"/>
        </w:rPr>
        <w:t>минут.</w:t>
      </w:r>
    </w:p>
    <w:p w:rsidR="00981CB7" w:rsidRDefault="00174474">
      <w:pPr>
        <w:ind w:firstLine="709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lang w:eastAsia="en-US"/>
        </w:rPr>
        <w:t>Время начала регистрации лиц, участвующих в годовом заседании общего собрания акционеров: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08 часов 00 минут.</w:t>
      </w:r>
    </w:p>
    <w:p w:rsidR="00981CB7" w:rsidRDefault="00174474">
      <w:pPr>
        <w:ind w:firstLine="709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lang w:eastAsia="en-US"/>
        </w:rPr>
        <w:t xml:space="preserve">Дата окончания приёма бюллетеня для голосования: </w:t>
      </w:r>
      <w:r>
        <w:rPr>
          <w:rFonts w:eastAsiaTheme="minorHAnsi"/>
          <w:b/>
          <w:bCs/>
          <w:color w:val="000000" w:themeColor="text1"/>
          <w:lang w:eastAsia="en-US"/>
        </w:rPr>
        <w:t>26.06.2026.</w:t>
      </w:r>
    </w:p>
    <w:p w:rsidR="00981CB7" w:rsidRDefault="00174474">
      <w:pPr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Почтовый адрес, по которому мо</w:t>
      </w:r>
      <w:r>
        <w:rPr>
          <w:rFonts w:eastAsiaTheme="minorHAnsi"/>
          <w:color w:val="000000" w:themeColor="text1"/>
          <w:lang w:eastAsia="en-US"/>
        </w:rPr>
        <w:t xml:space="preserve">жет направляться заполненный бюллетень для  голосования: </w:t>
      </w:r>
      <w:r>
        <w:rPr>
          <w:rFonts w:eastAsiaTheme="minorHAnsi"/>
          <w:b/>
          <w:bCs/>
          <w:iCs/>
          <w:color w:val="000000" w:themeColor="text1"/>
          <w:lang w:eastAsia="en-US"/>
        </w:rPr>
        <w:t xml:space="preserve">358000, Республика Калмыкия, г. Элиста, ул. В.И. Ленина, д. 272, </w:t>
      </w:r>
      <w:r>
        <w:rPr>
          <w:rFonts w:eastAsiaTheme="minorHAnsi"/>
          <w:b/>
          <w:bCs/>
          <w:color w:val="000000" w:themeColor="text1"/>
          <w:lang w:eastAsia="en-US"/>
        </w:rPr>
        <w:t>АО</w:t>
      </w:r>
      <w:r>
        <w:rPr>
          <w:b/>
          <w:bCs/>
          <w:color w:val="000000" w:themeColor="text1"/>
          <w:lang w:eastAsia="en-US"/>
        </w:rPr>
        <w:t> </w:t>
      </w:r>
      <w:r>
        <w:rPr>
          <w:rFonts w:eastAsiaTheme="minorHAnsi"/>
          <w:b/>
          <w:bCs/>
          <w:color w:val="000000" w:themeColor="text1"/>
          <w:lang w:eastAsia="en-US"/>
        </w:rPr>
        <w:t>«Газпром газораспределение Элиста».</w:t>
      </w:r>
    </w:p>
    <w:p w:rsidR="00981CB7" w:rsidRDefault="00981CB7">
      <w:pPr>
        <w:ind w:firstLine="709"/>
        <w:jc w:val="both"/>
        <w:rPr>
          <w:rFonts w:eastAsiaTheme="minorHAnsi"/>
          <w:color w:val="000000" w:themeColor="text1"/>
          <w:sz w:val="12"/>
          <w:szCs w:val="12"/>
        </w:rPr>
      </w:pPr>
    </w:p>
    <w:p w:rsidR="00981CB7" w:rsidRDefault="00174474">
      <w:pPr>
        <w:tabs>
          <w:tab w:val="left" w:pos="2256"/>
        </w:tabs>
        <w:ind w:firstLine="709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lang w:eastAsia="en-US"/>
        </w:rPr>
        <w:t>Способ подписания бюллетеня для голосования: бюллетень подписывается лицом, имеющим право голо</w:t>
      </w:r>
      <w:r>
        <w:rPr>
          <w:rFonts w:eastAsiaTheme="minorHAnsi"/>
          <w:lang w:eastAsia="en-US"/>
        </w:rPr>
        <w:t>са при принятии решений общим собранием акционеров, или его представителем собственноручной подписью; заполнение и направление бюллетеня для голосования в электронной форме с использованием других электронных либо иных технических средств недопустимо.</w:t>
      </w:r>
    </w:p>
    <w:p w:rsidR="00981CB7" w:rsidRDefault="00174474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>
        <w:rPr>
          <w:b/>
          <w:bCs/>
          <w:color w:val="000000" w:themeColor="text1"/>
        </w:rPr>
        <w:t>: 07.06.</w:t>
      </w:r>
      <w:r>
        <w:rPr>
          <w:b/>
          <w:color w:val="000000" w:themeColor="text1"/>
          <w:spacing w:val="-2"/>
        </w:rPr>
        <w:t>2026</w:t>
      </w:r>
      <w:r>
        <w:rPr>
          <w:b/>
          <w:color w:val="000000" w:themeColor="text1"/>
        </w:rPr>
        <w:t xml:space="preserve">. </w:t>
      </w:r>
    </w:p>
    <w:p w:rsidR="00981CB7" w:rsidRDefault="00174474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Категории (типы) акций, владельцы которых имеют право голоса по всем вопросам повестки дня общего собрания акционеров: </w:t>
      </w:r>
      <w:r>
        <w:rPr>
          <w:b/>
          <w:color w:val="000000" w:themeColor="text1"/>
        </w:rPr>
        <w:t>обыкновенные акции</w:t>
      </w:r>
      <w:r>
        <w:rPr>
          <w:b/>
          <w:color w:val="000000" w:themeColor="text1"/>
          <w:sz w:val="20"/>
          <w:szCs w:val="20"/>
        </w:rPr>
        <w:t>.</w:t>
      </w:r>
    </w:p>
    <w:p w:rsidR="00981CB7" w:rsidRDefault="00981CB7">
      <w:pPr>
        <w:tabs>
          <w:tab w:val="left" w:pos="993"/>
        </w:tabs>
        <w:ind w:firstLine="709"/>
        <w:jc w:val="both"/>
        <w:rPr>
          <w:b/>
          <w:color w:val="000000" w:themeColor="text1"/>
          <w:sz w:val="12"/>
          <w:szCs w:val="12"/>
        </w:rPr>
      </w:pPr>
    </w:p>
    <w:p w:rsidR="00981CB7" w:rsidRDefault="00174474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Повестка дня: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Утверждение годового отчета Общества за 2025 год.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Утверждение годовой бухгалтерской (финансовой) отчетности Общества за 2025 год.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Распределение прибыли (в том числе выплата (объявление) дивидендов) и убытков Общества по р</w:t>
      </w:r>
      <w:r>
        <w:rPr>
          <w:i/>
          <w:iCs/>
        </w:rPr>
        <w:t>езультатам 2025 года.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О размере, сроках и форме выплаты дивидендов по результатам 2025 года.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Избрание членов Совета директоров Общества.</w:t>
      </w:r>
    </w:p>
    <w:p w:rsidR="00981CB7" w:rsidRDefault="00174474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0"/>
          <w:tab w:val="left" w:pos="993"/>
        </w:tabs>
        <w:ind w:left="0" w:firstLine="709"/>
        <w:jc w:val="both"/>
        <w:rPr>
          <w:bCs/>
          <w:i/>
        </w:rPr>
      </w:pPr>
      <w:r>
        <w:rPr>
          <w:i/>
          <w:iCs/>
        </w:rPr>
        <w:t>Избрание членов Ревизионной комиссии Общества.</w:t>
      </w:r>
    </w:p>
    <w:p w:rsidR="00981CB7" w:rsidRDefault="00174474">
      <w:pPr>
        <w:widowControl w:val="0"/>
        <w:shd w:val="clear" w:color="auto" w:fill="FFFFFF"/>
        <w:tabs>
          <w:tab w:val="left" w:pos="709"/>
          <w:tab w:val="left" w:pos="850"/>
          <w:tab w:val="left" w:pos="993"/>
        </w:tabs>
        <w:ind w:firstLine="709"/>
        <w:jc w:val="both"/>
        <w:rPr>
          <w:bCs/>
          <w:i/>
        </w:rPr>
      </w:pPr>
      <w:r>
        <w:rPr>
          <w:i/>
          <w:iCs/>
        </w:rPr>
        <w:t>7. О назначении аудиторской организации Общества.</w:t>
      </w:r>
    </w:p>
    <w:p w:rsidR="00981CB7" w:rsidRDefault="00981CB7">
      <w:pPr>
        <w:tabs>
          <w:tab w:val="left" w:pos="4237"/>
        </w:tabs>
        <w:ind w:firstLine="709"/>
        <w:jc w:val="both"/>
        <w:rPr>
          <w:bCs/>
          <w:i/>
          <w:sz w:val="12"/>
          <w:szCs w:val="12"/>
        </w:rPr>
      </w:pPr>
    </w:p>
    <w:p w:rsidR="00981CB7" w:rsidRDefault="00174474">
      <w:pPr>
        <w:spacing w:line="235" w:lineRule="auto"/>
        <w:ind w:firstLine="709"/>
        <w:jc w:val="both"/>
        <w:rPr>
          <w:color w:val="000000"/>
        </w:rPr>
      </w:pPr>
      <w:r>
        <w:t>Информация (материалы</w:t>
      </w:r>
      <w:r>
        <w:t>), предоставляемая акционерам при подготовке к</w:t>
      </w:r>
      <w:r>
        <w:t> </w:t>
      </w:r>
      <w:r>
        <w:t>проведению годового заседания общего собрания акционеров, в течение 20</w:t>
      </w:r>
      <w:r>
        <w:t> </w:t>
      </w:r>
      <w:r>
        <w:t>дней до даты проведения годового заседания общего собрания акционеров должна быть доступна лицам, имеющим право голоса при принятии решени</w:t>
      </w:r>
      <w:r>
        <w:t>й общим собранием акционеров, для ознакомления по</w:t>
      </w:r>
      <w:r>
        <w:t xml:space="preserve"> </w:t>
      </w:r>
      <w:r>
        <w:rPr>
          <w:color w:val="000000"/>
        </w:rPr>
        <w:t xml:space="preserve">адресу: </w:t>
      </w:r>
    </w:p>
    <w:p w:rsidR="00981CB7" w:rsidRDefault="00174474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i/>
          <w:color w:val="000000" w:themeColor="text1"/>
          <w:spacing w:val="-2"/>
          <w:sz w:val="28"/>
          <w:szCs w:val="28"/>
        </w:rPr>
      </w:pPr>
      <w:r>
        <w:rPr>
          <w:i/>
          <w:color w:val="000000"/>
        </w:rPr>
        <w:t>-</w:t>
      </w:r>
      <w:r>
        <w:rPr>
          <w:i/>
          <w:color w:val="000000" w:themeColor="text1"/>
          <w:spacing w:val="-2"/>
        </w:rPr>
        <w:t xml:space="preserve"> Республика Калмыкия, г. Элиста, ул. В.И.Ленина, д. 272, кабинет 303, с понедельника по пятницу с 08 часов 00 минут до 16 часов 00 минут, справки по тел. 8(84722) 6-28-01 доб. (353)</w:t>
      </w:r>
      <w:r>
        <w:rPr>
          <w:i/>
          <w:color w:val="000000" w:themeColor="text1"/>
          <w:spacing w:val="-2"/>
        </w:rPr>
        <w:t>, контактное лицо Мерген Тимофеевич Кекеев;</w:t>
      </w:r>
    </w:p>
    <w:p w:rsidR="00981CB7" w:rsidRDefault="001744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993"/>
          <w:tab w:val="left" w:pos="992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Информация (материалы), предоставляемая акционерам при подготовке к проведению годового заседания общего собрания акционеров, также должна быть </w:t>
      </w:r>
      <w:r>
        <w:rPr>
          <w:color w:val="000000" w:themeColor="text1"/>
        </w:rPr>
        <w:t xml:space="preserve">доступна лицам, </w:t>
      </w:r>
      <w:r>
        <w:rPr>
          <w:color w:val="000000" w:themeColor="text1"/>
        </w:rPr>
        <w:lastRenderedPageBreak/>
        <w:t>имеющим право голоса при принятии решений общим собранием акционеров, во время проведения годового заседания общего собрания акционеров в месте его проведения.</w:t>
      </w:r>
    </w:p>
    <w:p w:rsidR="00981CB7" w:rsidRDefault="00174474">
      <w:pPr>
        <w:shd w:val="clear" w:color="auto" w:fill="FFFFFF"/>
        <w:tabs>
          <w:tab w:val="left" w:pos="993"/>
          <w:tab w:val="left" w:pos="9923"/>
        </w:tabs>
        <w:ind w:firstLine="709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Право на участие в годовом заседании общего собрания акционеров осуществляется а</w:t>
      </w:r>
      <w:r>
        <w:rPr>
          <w:bCs/>
          <w:iCs/>
          <w:color w:val="000000" w:themeColor="text1"/>
        </w:rPr>
        <w:t>кционером как лично, так и через своего представителя.</w:t>
      </w:r>
    </w:p>
    <w:p w:rsidR="00981CB7" w:rsidRDefault="00174474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Акционеры, чьи права на ценные бумаги учитываются номинальным держателем, вправе принимать участие в общем собрании и осуществлять свое право голоса путем дачи указаний (инструкций) номинальному держат</w:t>
      </w:r>
      <w:r>
        <w:rPr>
          <w:color w:val="000000" w:themeColor="text1"/>
        </w:rPr>
        <w:t>елю. Порядок дачи указаний (инструкций) определяются договором с номинальным держателем.</w:t>
      </w:r>
    </w:p>
    <w:p w:rsidR="00981CB7" w:rsidRDefault="00174474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случае изменения данных акционера, зарегистрированного в реестре акционеров общества, в том числе адресных данных, данных о банковских реквизитах, необходимо предост</w:t>
      </w:r>
      <w:r>
        <w:rPr>
          <w:color w:val="000000" w:themeColor="text1"/>
        </w:rPr>
        <w:t xml:space="preserve">авить информацию об указанных изменениях регистратору Общества. </w:t>
      </w:r>
    </w:p>
    <w:p w:rsidR="00981CB7" w:rsidRDefault="00981CB7">
      <w:pPr>
        <w:tabs>
          <w:tab w:val="left" w:pos="993"/>
        </w:tabs>
        <w:jc w:val="both"/>
        <w:rPr>
          <w:color w:val="000000" w:themeColor="text1"/>
          <w:sz w:val="12"/>
          <w:szCs w:val="12"/>
        </w:rPr>
      </w:pPr>
    </w:p>
    <w:p w:rsidR="00981CB7" w:rsidRDefault="00174474">
      <w:pPr>
        <w:shd w:val="clear" w:color="auto" w:fill="FFFFFF"/>
        <w:tabs>
          <w:tab w:val="left" w:pos="567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Для участия в </w:t>
      </w:r>
      <w:r>
        <w:rPr>
          <w:rFonts w:eastAsiaTheme="minorHAnsi"/>
          <w:b/>
          <w:bCs/>
          <w:lang w:eastAsia="en-US"/>
        </w:rPr>
        <w:t>годовом заседании общего собрания акционеров</w:t>
      </w:r>
      <w:r>
        <w:rPr>
          <w:b/>
          <w:bCs/>
          <w:color w:val="000000" w:themeColor="text1"/>
        </w:rPr>
        <w:t xml:space="preserve"> Общества необходимо при себе иметь:</w:t>
      </w:r>
    </w:p>
    <w:p w:rsidR="00981CB7" w:rsidRDefault="00174474">
      <w:pPr>
        <w:shd w:val="clear" w:color="auto" w:fill="FFFFFF"/>
        <w:tabs>
          <w:tab w:val="left" w:pos="567"/>
        </w:tabs>
        <w:ind w:firstLine="709"/>
        <w:jc w:val="both"/>
      </w:pPr>
      <w:r>
        <w:rPr>
          <w:b/>
          <w:u w:val="single"/>
        </w:rPr>
        <w:t>Физическому лицу</w:t>
      </w:r>
      <w:r>
        <w:t xml:space="preserve"> - паспорт или иной документ, удостоверяющий личность в соответствии с действую</w:t>
      </w:r>
      <w:r>
        <w:t>щим законодательством (в случае смены паспорта в новом должен иметься штамп с реквизитами прежнего паспорта, либо предъявляется справка из уполномоченного государственного органа, выдавшего паспорт, с указанием реквизитов как нового, так и прежнего паспорт</w:t>
      </w:r>
      <w:r>
        <w:t>ов);</w:t>
      </w:r>
    </w:p>
    <w:p w:rsidR="00981CB7" w:rsidRDefault="00174474">
      <w:pPr>
        <w:shd w:val="clear" w:color="auto" w:fill="FFFFFF"/>
        <w:tabs>
          <w:tab w:val="left" w:pos="567"/>
        </w:tabs>
        <w:ind w:firstLine="709"/>
        <w:jc w:val="both"/>
      </w:pPr>
      <w:r>
        <w:rPr>
          <w:b/>
          <w:u w:val="single"/>
        </w:rPr>
        <w:t>Уполномоченному представителю физического лица</w:t>
      </w:r>
      <w:r>
        <w:t xml:space="preserve"> - кроме документа, удостоверяющего личность, иметь доверенность, оформленную в соответствии с требованиями ст. 185 ГК РФ или удостоверенную нотариально; </w:t>
      </w:r>
    </w:p>
    <w:p w:rsidR="00981CB7" w:rsidRDefault="00174474">
      <w:pPr>
        <w:tabs>
          <w:tab w:val="left" w:pos="1701"/>
          <w:tab w:val="left" w:pos="2552"/>
          <w:tab w:val="left" w:pos="9923"/>
        </w:tabs>
        <w:ind w:firstLine="709"/>
        <w:jc w:val="both"/>
        <w:rPr>
          <w:iCs/>
        </w:rPr>
      </w:pPr>
      <w:r>
        <w:rPr>
          <w:b/>
          <w:u w:val="single"/>
        </w:rPr>
        <w:t>Уполномоченному представителю юридического лица</w:t>
      </w:r>
      <w:r>
        <w:t xml:space="preserve"> - </w:t>
      </w:r>
      <w:r>
        <w:t>кроме документа, удостоверяющего личность, иметь документы, подтверждающие его право действовать от имени юридического лица без доверенности (документ, подтверждающий его назначение на должность) либо доверенность, оформленную в соответствии с требованиями</w:t>
      </w:r>
      <w:r>
        <w:t xml:space="preserve"> ст. 185.1 </w:t>
      </w:r>
      <w:r>
        <w:rPr>
          <w:iCs/>
        </w:rPr>
        <w:t xml:space="preserve">Гражданского кодекса Российской Федерации или удостоверенную нотариально. </w:t>
      </w:r>
    </w:p>
    <w:p w:rsidR="00981CB7" w:rsidRDefault="00174474">
      <w:pPr>
        <w:ind w:firstLine="709"/>
        <w:jc w:val="both"/>
        <w:rPr>
          <w:iCs/>
        </w:rPr>
      </w:pPr>
      <w:r>
        <w:rPr>
          <w:iCs/>
        </w:rPr>
        <w:t xml:space="preserve">Доверенность на голосование должна содержать сведения </w:t>
      </w:r>
      <w:r>
        <w:rPr>
          <w:iCs/>
        </w:rPr>
        <w:t>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</w:t>
      </w:r>
      <w:r>
        <w:rPr>
          <w:iCs/>
        </w:rPr>
        <w:t xml:space="preserve"> Доверенность на голосование должна быть оформлена в соответствии с требованиями </w:t>
      </w:r>
      <w:hyperlink r:id="rId9" w:tooltip="consultantplus://offline/ref=E8A6DE5D2340E232D26F92EFCE4A7092BCFBFF6F5BF3FDD6BE71C61629C81A6E416FF7BCEBFA3E954C52FA28D789A490E4BBE2C006M9v5L" w:history="1">
        <w:r>
          <w:rPr>
            <w:rStyle w:val="afa"/>
            <w:iCs/>
            <w:color w:val="auto"/>
            <w:u w:val="none"/>
          </w:rPr>
          <w:t>пунктов 3</w:t>
        </w:r>
      </w:hyperlink>
      <w:r>
        <w:rPr>
          <w:iCs/>
        </w:rPr>
        <w:t xml:space="preserve"> и </w:t>
      </w:r>
      <w:hyperlink r:id="rId10" w:tooltip="consultantplus://offline/ref=E8A6DE5D2340E232D26F92EFCE4A7092BCFBFF6F5BF3FDD6BE71C61629C81A6E416FF7BCEBFB3E954C52FA28D789A490E4BBE2C006M9v5L" w:history="1">
        <w:r>
          <w:rPr>
            <w:rStyle w:val="afa"/>
            <w:iCs/>
            <w:color w:val="auto"/>
            <w:u w:val="none"/>
          </w:rPr>
          <w:t>4 статьи 185.1</w:t>
        </w:r>
      </w:hyperlink>
      <w:r>
        <w:rPr>
          <w:iCs/>
        </w:rPr>
        <w:t xml:space="preserve"> Гражданского кодекса Российской Федерации или удостове</w:t>
      </w:r>
      <w:r>
        <w:rPr>
          <w:iCs/>
        </w:rPr>
        <w:t>рена нотариально.</w:t>
      </w:r>
    </w:p>
    <w:p w:rsidR="00981CB7" w:rsidRDefault="00174474">
      <w:pPr>
        <w:shd w:val="clear" w:color="auto" w:fill="FFFFFF"/>
        <w:tabs>
          <w:tab w:val="left" w:pos="1701"/>
          <w:tab w:val="left" w:pos="2552"/>
        </w:tabs>
        <w:ind w:firstLine="709"/>
        <w:jc w:val="both"/>
        <w:rPr>
          <w:iCs/>
          <w:spacing w:val="-1"/>
        </w:rPr>
      </w:pPr>
      <w:r>
        <w:rPr>
          <w:iCs/>
        </w:rPr>
        <w:t>В случае правопреемства - документы, удостоверяющие полномочия правопреемников и представителей лиц, имеющих право на участие в общем собрании акционеров (их копии, засвидетельствованные нотариально)</w:t>
      </w:r>
      <w:r>
        <w:rPr>
          <w:iCs/>
          <w:spacing w:val="-1"/>
        </w:rPr>
        <w:t>.</w:t>
      </w:r>
    </w:p>
    <w:p w:rsidR="00981CB7" w:rsidRDefault="00174474">
      <w:pPr>
        <w:ind w:firstLine="709"/>
        <w:jc w:val="both"/>
        <w:rPr>
          <w:iCs/>
          <w:color w:val="000000"/>
        </w:rPr>
      </w:pPr>
      <w:r>
        <w:rPr>
          <w:iCs/>
        </w:rPr>
        <w:t xml:space="preserve">Документы, удостоверяющие полномочия </w:t>
      </w:r>
      <w:r>
        <w:rPr>
          <w:iCs/>
        </w:rPr>
        <w:t xml:space="preserve">правопреемников и представителей </w:t>
      </w:r>
      <w:r>
        <w:rPr>
          <w:iCs/>
          <w:color w:val="000000"/>
        </w:rPr>
        <w:t xml:space="preserve">лиц, включённых в список лиц, имеющих право на участие в общем собрании (их копии, засвидетельствованные нотариально), должны быть </w:t>
      </w:r>
      <w:r>
        <w:rPr>
          <w:bCs/>
          <w:iCs/>
          <w:color w:val="000000"/>
        </w:rPr>
        <w:t>направлены вместе с бюллетенем для голосования</w:t>
      </w:r>
      <w:r>
        <w:rPr>
          <w:iCs/>
          <w:color w:val="000000"/>
        </w:rPr>
        <w:t>.</w:t>
      </w:r>
    </w:p>
    <w:p w:rsidR="00981CB7" w:rsidRDefault="00174474">
      <w:pPr>
        <w:ind w:firstLine="709"/>
        <w:jc w:val="both"/>
        <w:rPr>
          <w:iCs/>
          <w:color w:val="000000"/>
        </w:rPr>
      </w:pPr>
      <w:r>
        <w:rPr>
          <w:iCs/>
          <w:color w:val="000000"/>
          <w:highlight w:val="white"/>
        </w:rPr>
        <w:t xml:space="preserve">Принявшими участие в </w:t>
      </w:r>
      <w:r>
        <w:rPr>
          <w:bCs/>
        </w:rPr>
        <w:t>годовом заседании общего собрания акционеров</w:t>
      </w:r>
      <w:r>
        <w:rPr>
          <w:iCs/>
          <w:color w:val="000000"/>
          <w:highlight w:val="white"/>
        </w:rPr>
        <w:t xml:space="preserve"> будут считаться:</w:t>
      </w:r>
    </w:p>
    <w:p w:rsidR="00981CB7" w:rsidRDefault="0017447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 акционеры, </w:t>
      </w:r>
      <w:hyperlink r:id="rId11" w:tooltip="consultantplus://offline/ref=EF0589700282FFDB6E20886F6A586AB36B67AAAFC2B48ADB582214467E5F40FD04CB11166E15641946947BF7D75333B623AD4021CCD36814U4x9L" w:history="1">
        <w:r>
          <w:rPr>
            <w:rFonts w:eastAsia="Calibri"/>
            <w:lang w:eastAsia="en-US"/>
          </w:rPr>
          <w:t>зарегистрировавшиеся</w:t>
        </w:r>
      </w:hyperlink>
      <w:r>
        <w:rPr>
          <w:rFonts w:eastAsia="Calibri"/>
          <w:lang w:eastAsia="en-US"/>
        </w:rPr>
        <w:t xml:space="preserve"> для участия в </w:t>
      </w:r>
      <w:r>
        <w:rPr>
          <w:rFonts w:eastAsiaTheme="minorHAnsi"/>
          <w:bCs/>
          <w:lang w:eastAsia="en-US"/>
        </w:rPr>
        <w:t>годовом заседании общего собрания акционеров</w:t>
      </w:r>
      <w:r>
        <w:rPr>
          <w:rFonts w:eastAsia="Calibri"/>
          <w:lang w:eastAsia="en-US"/>
        </w:rPr>
        <w:t xml:space="preserve">; </w:t>
      </w:r>
    </w:p>
    <w:p w:rsidR="00981CB7" w:rsidRDefault="00174474">
      <w:pPr>
        <w:ind w:firstLine="709"/>
        <w:jc w:val="both"/>
        <w:rPr>
          <w:b/>
          <w:iCs/>
          <w:color w:val="000000"/>
        </w:rPr>
      </w:pPr>
      <w:r>
        <w:rPr>
          <w:rFonts w:eastAsia="Calibri"/>
          <w:lang w:eastAsia="en-US"/>
        </w:rPr>
        <w:t xml:space="preserve">- акционеры, бюллетени которых получены </w:t>
      </w:r>
      <w:r>
        <w:rPr>
          <w:rFonts w:eastAsia="Calibri"/>
          <w:lang w:eastAsia="en-US"/>
        </w:rPr>
        <w:t>за два дня до даты проведения годового заседания общего собрания акционеров, последний день приема бюллетеней</w:t>
      </w:r>
      <w:r>
        <w:rPr>
          <w:iCs/>
          <w:color w:val="000000"/>
        </w:rPr>
        <w:t xml:space="preserve"> - </w:t>
      </w:r>
      <w:r>
        <w:rPr>
          <w:b/>
          <w:bCs/>
          <w:iCs/>
          <w:color w:val="000000"/>
        </w:rPr>
        <w:t>26.06.2026</w:t>
      </w:r>
      <w:r>
        <w:rPr>
          <w:b/>
          <w:iCs/>
          <w:color w:val="000000"/>
        </w:rPr>
        <w:t xml:space="preserve">; </w:t>
      </w:r>
    </w:p>
    <w:p w:rsidR="00981CB7" w:rsidRDefault="00174474">
      <w:pPr>
        <w:ind w:firstLine="709"/>
        <w:jc w:val="both"/>
        <w:rPr>
          <w:b/>
          <w:bCs/>
          <w:iCs/>
          <w:color w:val="000000"/>
        </w:rPr>
      </w:pPr>
      <w:r>
        <w:rPr>
          <w:iCs/>
          <w:color w:val="000000"/>
        </w:rPr>
        <w:t>- акционеры, которые в соответствии с правилами законодательства Российской Федерации о ценных бумагах дали лицу, осуществляющему у</w:t>
      </w:r>
      <w:r>
        <w:rPr>
          <w:iCs/>
          <w:color w:val="000000"/>
        </w:rPr>
        <w:t xml:space="preserve">чёт их прав на акции, указания (инструкции) о голосовании, если сообщение о его волеизъявлении получено </w:t>
      </w:r>
      <w:r>
        <w:rPr>
          <w:rFonts w:eastAsia="Calibri"/>
          <w:lang w:eastAsia="en-US"/>
        </w:rPr>
        <w:t xml:space="preserve">за два дня до даты проведения заседания общего собрания акционеров - </w:t>
      </w:r>
      <w:r>
        <w:rPr>
          <w:b/>
          <w:bCs/>
          <w:iCs/>
          <w:color w:val="000000"/>
        </w:rPr>
        <w:t>26.06.2026.</w:t>
      </w:r>
      <w:bookmarkStart w:id="1" w:name="undefined"/>
      <w:bookmarkEnd w:id="1"/>
    </w:p>
    <w:p w:rsidR="00981CB7" w:rsidRDefault="00981CB7">
      <w:pPr>
        <w:shd w:val="clear" w:color="auto" w:fill="FFFFFF"/>
        <w:tabs>
          <w:tab w:val="left" w:pos="567"/>
        </w:tabs>
        <w:jc w:val="both"/>
      </w:pPr>
    </w:p>
    <w:sectPr w:rsidR="00981CB7">
      <w:pgSz w:w="11909" w:h="16834"/>
      <w:pgMar w:top="1134" w:right="850" w:bottom="1134" w:left="1276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B7" w:rsidRDefault="00174474">
      <w:r>
        <w:separator/>
      </w:r>
    </w:p>
  </w:endnote>
  <w:endnote w:type="continuationSeparator" w:id="0">
    <w:p w:rsidR="00981CB7" w:rsidRDefault="0017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B7" w:rsidRDefault="00174474">
      <w:r>
        <w:separator/>
      </w:r>
    </w:p>
  </w:footnote>
  <w:footnote w:type="continuationSeparator" w:id="0">
    <w:p w:rsidR="00981CB7" w:rsidRDefault="00174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022E"/>
    <w:multiLevelType w:val="hybridMultilevel"/>
    <w:tmpl w:val="A48E7530"/>
    <w:lvl w:ilvl="0" w:tplc="110A13D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7721878">
      <w:start w:val="1"/>
      <w:numFmt w:val="lowerLetter"/>
      <w:lvlText w:val="%2."/>
      <w:lvlJc w:val="left"/>
      <w:pPr>
        <w:ind w:left="1440" w:hanging="360"/>
      </w:pPr>
    </w:lvl>
    <w:lvl w:ilvl="2" w:tplc="12AA6706">
      <w:start w:val="1"/>
      <w:numFmt w:val="lowerRoman"/>
      <w:lvlText w:val="%3."/>
      <w:lvlJc w:val="right"/>
      <w:pPr>
        <w:ind w:left="2160" w:hanging="180"/>
      </w:pPr>
    </w:lvl>
    <w:lvl w:ilvl="3" w:tplc="C8AAD770">
      <w:start w:val="1"/>
      <w:numFmt w:val="decimal"/>
      <w:lvlText w:val="%4."/>
      <w:lvlJc w:val="left"/>
      <w:pPr>
        <w:ind w:left="2880" w:hanging="360"/>
      </w:pPr>
    </w:lvl>
    <w:lvl w:ilvl="4" w:tplc="67824B32">
      <w:start w:val="1"/>
      <w:numFmt w:val="lowerLetter"/>
      <w:lvlText w:val="%5."/>
      <w:lvlJc w:val="left"/>
      <w:pPr>
        <w:ind w:left="3600" w:hanging="360"/>
      </w:pPr>
    </w:lvl>
    <w:lvl w:ilvl="5" w:tplc="51C8FAF0">
      <w:start w:val="1"/>
      <w:numFmt w:val="lowerRoman"/>
      <w:lvlText w:val="%6."/>
      <w:lvlJc w:val="right"/>
      <w:pPr>
        <w:ind w:left="4320" w:hanging="180"/>
      </w:pPr>
    </w:lvl>
    <w:lvl w:ilvl="6" w:tplc="4C6AF40A">
      <w:start w:val="1"/>
      <w:numFmt w:val="decimal"/>
      <w:lvlText w:val="%7."/>
      <w:lvlJc w:val="left"/>
      <w:pPr>
        <w:ind w:left="5040" w:hanging="360"/>
      </w:pPr>
    </w:lvl>
    <w:lvl w:ilvl="7" w:tplc="CF80EC92">
      <w:start w:val="1"/>
      <w:numFmt w:val="lowerLetter"/>
      <w:lvlText w:val="%8."/>
      <w:lvlJc w:val="left"/>
      <w:pPr>
        <w:ind w:left="5760" w:hanging="360"/>
      </w:pPr>
    </w:lvl>
    <w:lvl w:ilvl="8" w:tplc="2D2C59E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B1C3A"/>
    <w:multiLevelType w:val="hybridMultilevel"/>
    <w:tmpl w:val="44D8962A"/>
    <w:lvl w:ilvl="0" w:tplc="3DCE8A7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7ADE19F6">
      <w:start w:val="1"/>
      <w:numFmt w:val="lowerLetter"/>
      <w:lvlText w:val="%2."/>
      <w:lvlJc w:val="left"/>
      <w:pPr>
        <w:ind w:left="1440" w:hanging="360"/>
      </w:pPr>
    </w:lvl>
    <w:lvl w:ilvl="2" w:tplc="7410FB68">
      <w:start w:val="1"/>
      <w:numFmt w:val="lowerRoman"/>
      <w:lvlText w:val="%3."/>
      <w:lvlJc w:val="right"/>
      <w:pPr>
        <w:ind w:left="2160" w:hanging="180"/>
      </w:pPr>
    </w:lvl>
    <w:lvl w:ilvl="3" w:tplc="71509608">
      <w:start w:val="1"/>
      <w:numFmt w:val="decimal"/>
      <w:lvlText w:val="%4."/>
      <w:lvlJc w:val="left"/>
      <w:pPr>
        <w:ind w:left="2880" w:hanging="360"/>
      </w:pPr>
    </w:lvl>
    <w:lvl w:ilvl="4" w:tplc="38FA334A">
      <w:start w:val="1"/>
      <w:numFmt w:val="lowerLetter"/>
      <w:lvlText w:val="%5."/>
      <w:lvlJc w:val="left"/>
      <w:pPr>
        <w:ind w:left="3600" w:hanging="360"/>
      </w:pPr>
    </w:lvl>
    <w:lvl w:ilvl="5" w:tplc="EB245EA6">
      <w:start w:val="1"/>
      <w:numFmt w:val="lowerRoman"/>
      <w:lvlText w:val="%6."/>
      <w:lvlJc w:val="right"/>
      <w:pPr>
        <w:ind w:left="4320" w:hanging="180"/>
      </w:pPr>
    </w:lvl>
    <w:lvl w:ilvl="6" w:tplc="92E85A1C">
      <w:start w:val="1"/>
      <w:numFmt w:val="decimal"/>
      <w:lvlText w:val="%7."/>
      <w:lvlJc w:val="left"/>
      <w:pPr>
        <w:ind w:left="5040" w:hanging="360"/>
      </w:pPr>
    </w:lvl>
    <w:lvl w:ilvl="7" w:tplc="51104EA0">
      <w:start w:val="1"/>
      <w:numFmt w:val="lowerLetter"/>
      <w:lvlText w:val="%8."/>
      <w:lvlJc w:val="left"/>
      <w:pPr>
        <w:ind w:left="5760" w:hanging="360"/>
      </w:pPr>
    </w:lvl>
    <w:lvl w:ilvl="8" w:tplc="B748CDF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97196"/>
    <w:multiLevelType w:val="hybridMultilevel"/>
    <w:tmpl w:val="895634EE"/>
    <w:lvl w:ilvl="0" w:tplc="1A800E1C">
      <w:start w:val="1"/>
      <w:numFmt w:val="decimal"/>
      <w:lvlText w:val="%1."/>
      <w:lvlJc w:val="left"/>
      <w:pPr>
        <w:ind w:left="1429" w:hanging="360"/>
      </w:pPr>
    </w:lvl>
    <w:lvl w:ilvl="1" w:tplc="9492214C">
      <w:start w:val="1"/>
      <w:numFmt w:val="lowerLetter"/>
      <w:lvlText w:val="%2."/>
      <w:lvlJc w:val="left"/>
      <w:pPr>
        <w:ind w:left="2149" w:hanging="360"/>
      </w:pPr>
    </w:lvl>
    <w:lvl w:ilvl="2" w:tplc="CA06061C">
      <w:start w:val="1"/>
      <w:numFmt w:val="lowerRoman"/>
      <w:lvlText w:val="%3."/>
      <w:lvlJc w:val="right"/>
      <w:pPr>
        <w:ind w:left="2869" w:hanging="180"/>
      </w:pPr>
    </w:lvl>
    <w:lvl w:ilvl="3" w:tplc="C3ECB248">
      <w:start w:val="1"/>
      <w:numFmt w:val="decimal"/>
      <w:lvlText w:val="%4."/>
      <w:lvlJc w:val="left"/>
      <w:pPr>
        <w:ind w:left="3589" w:hanging="360"/>
      </w:pPr>
    </w:lvl>
    <w:lvl w:ilvl="4" w:tplc="01B61362">
      <w:start w:val="1"/>
      <w:numFmt w:val="lowerLetter"/>
      <w:lvlText w:val="%5."/>
      <w:lvlJc w:val="left"/>
      <w:pPr>
        <w:ind w:left="4309" w:hanging="360"/>
      </w:pPr>
    </w:lvl>
    <w:lvl w:ilvl="5" w:tplc="1A663A6A">
      <w:start w:val="1"/>
      <w:numFmt w:val="lowerRoman"/>
      <w:lvlText w:val="%6."/>
      <w:lvlJc w:val="right"/>
      <w:pPr>
        <w:ind w:left="5029" w:hanging="180"/>
      </w:pPr>
    </w:lvl>
    <w:lvl w:ilvl="6" w:tplc="3CBEB374">
      <w:start w:val="1"/>
      <w:numFmt w:val="decimal"/>
      <w:lvlText w:val="%7."/>
      <w:lvlJc w:val="left"/>
      <w:pPr>
        <w:ind w:left="5749" w:hanging="360"/>
      </w:pPr>
    </w:lvl>
    <w:lvl w:ilvl="7" w:tplc="08945F64">
      <w:start w:val="1"/>
      <w:numFmt w:val="lowerLetter"/>
      <w:lvlText w:val="%8."/>
      <w:lvlJc w:val="left"/>
      <w:pPr>
        <w:ind w:left="6469" w:hanging="360"/>
      </w:pPr>
    </w:lvl>
    <w:lvl w:ilvl="8" w:tplc="F9CE1E90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3817751"/>
    <w:multiLevelType w:val="hybridMultilevel"/>
    <w:tmpl w:val="63FE64A6"/>
    <w:lvl w:ilvl="0" w:tplc="C4C8AF9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5E696A6">
      <w:start w:val="1"/>
      <w:numFmt w:val="lowerLetter"/>
      <w:lvlText w:val="%2."/>
      <w:lvlJc w:val="left"/>
      <w:pPr>
        <w:ind w:left="1440" w:hanging="360"/>
      </w:pPr>
    </w:lvl>
    <w:lvl w:ilvl="2" w:tplc="C4F80668">
      <w:start w:val="1"/>
      <w:numFmt w:val="lowerRoman"/>
      <w:lvlText w:val="%3."/>
      <w:lvlJc w:val="right"/>
      <w:pPr>
        <w:ind w:left="2160" w:hanging="180"/>
      </w:pPr>
    </w:lvl>
    <w:lvl w:ilvl="3" w:tplc="1E109CA4">
      <w:start w:val="1"/>
      <w:numFmt w:val="decimal"/>
      <w:lvlText w:val="%4."/>
      <w:lvlJc w:val="left"/>
      <w:pPr>
        <w:ind w:left="2880" w:hanging="360"/>
      </w:pPr>
    </w:lvl>
    <w:lvl w:ilvl="4" w:tplc="BCD001DC">
      <w:start w:val="1"/>
      <w:numFmt w:val="lowerLetter"/>
      <w:lvlText w:val="%5."/>
      <w:lvlJc w:val="left"/>
      <w:pPr>
        <w:ind w:left="3600" w:hanging="360"/>
      </w:pPr>
    </w:lvl>
    <w:lvl w:ilvl="5" w:tplc="D08E808A">
      <w:start w:val="1"/>
      <w:numFmt w:val="lowerRoman"/>
      <w:lvlText w:val="%6."/>
      <w:lvlJc w:val="right"/>
      <w:pPr>
        <w:ind w:left="4320" w:hanging="180"/>
      </w:pPr>
    </w:lvl>
    <w:lvl w:ilvl="6" w:tplc="A14AFDEA">
      <w:start w:val="1"/>
      <w:numFmt w:val="decimal"/>
      <w:lvlText w:val="%7."/>
      <w:lvlJc w:val="left"/>
      <w:pPr>
        <w:ind w:left="5040" w:hanging="360"/>
      </w:pPr>
    </w:lvl>
    <w:lvl w:ilvl="7" w:tplc="A656E4F2">
      <w:start w:val="1"/>
      <w:numFmt w:val="lowerLetter"/>
      <w:lvlText w:val="%8."/>
      <w:lvlJc w:val="left"/>
      <w:pPr>
        <w:ind w:left="5760" w:hanging="360"/>
      </w:pPr>
    </w:lvl>
    <w:lvl w:ilvl="8" w:tplc="D822474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D6FC5"/>
    <w:multiLevelType w:val="hybridMultilevel"/>
    <w:tmpl w:val="4778376E"/>
    <w:lvl w:ilvl="0" w:tplc="D200D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8F134">
      <w:start w:val="1"/>
      <w:numFmt w:val="lowerLetter"/>
      <w:lvlText w:val="%2."/>
      <w:lvlJc w:val="left"/>
      <w:pPr>
        <w:ind w:left="1789" w:hanging="360"/>
      </w:pPr>
    </w:lvl>
    <w:lvl w:ilvl="2" w:tplc="056A0C68">
      <w:start w:val="1"/>
      <w:numFmt w:val="lowerRoman"/>
      <w:lvlText w:val="%3."/>
      <w:lvlJc w:val="right"/>
      <w:pPr>
        <w:ind w:left="2509" w:hanging="180"/>
      </w:pPr>
    </w:lvl>
    <w:lvl w:ilvl="3" w:tplc="62A499FC">
      <w:start w:val="1"/>
      <w:numFmt w:val="decimal"/>
      <w:lvlText w:val="%4."/>
      <w:lvlJc w:val="left"/>
      <w:pPr>
        <w:ind w:left="3229" w:hanging="360"/>
      </w:pPr>
    </w:lvl>
    <w:lvl w:ilvl="4" w:tplc="D352A88C">
      <w:start w:val="1"/>
      <w:numFmt w:val="lowerLetter"/>
      <w:lvlText w:val="%5."/>
      <w:lvlJc w:val="left"/>
      <w:pPr>
        <w:ind w:left="3949" w:hanging="360"/>
      </w:pPr>
    </w:lvl>
    <w:lvl w:ilvl="5" w:tplc="B65C6DF8">
      <w:start w:val="1"/>
      <w:numFmt w:val="lowerRoman"/>
      <w:lvlText w:val="%6."/>
      <w:lvlJc w:val="right"/>
      <w:pPr>
        <w:ind w:left="4669" w:hanging="180"/>
      </w:pPr>
    </w:lvl>
    <w:lvl w:ilvl="6" w:tplc="3A94D166">
      <w:start w:val="1"/>
      <w:numFmt w:val="decimal"/>
      <w:lvlText w:val="%7."/>
      <w:lvlJc w:val="left"/>
      <w:pPr>
        <w:ind w:left="5389" w:hanging="360"/>
      </w:pPr>
    </w:lvl>
    <w:lvl w:ilvl="7" w:tplc="DB4EF9DE">
      <w:start w:val="1"/>
      <w:numFmt w:val="lowerLetter"/>
      <w:lvlText w:val="%8."/>
      <w:lvlJc w:val="left"/>
      <w:pPr>
        <w:ind w:left="6109" w:hanging="360"/>
      </w:pPr>
    </w:lvl>
    <w:lvl w:ilvl="8" w:tplc="5B06765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8B6CDA"/>
    <w:multiLevelType w:val="hybridMultilevel"/>
    <w:tmpl w:val="80442DC0"/>
    <w:lvl w:ilvl="0" w:tplc="80D609D0">
      <w:start w:val="1"/>
      <w:numFmt w:val="decimal"/>
      <w:lvlText w:val="%1."/>
      <w:lvlJc w:val="left"/>
      <w:pPr>
        <w:ind w:left="720" w:hanging="360"/>
      </w:pPr>
    </w:lvl>
    <w:lvl w:ilvl="1" w:tplc="C55CF974">
      <w:start w:val="1"/>
      <w:numFmt w:val="lowerLetter"/>
      <w:lvlText w:val="%2."/>
      <w:lvlJc w:val="left"/>
      <w:pPr>
        <w:ind w:left="1440" w:hanging="360"/>
      </w:pPr>
    </w:lvl>
    <w:lvl w:ilvl="2" w:tplc="68AAD4EC">
      <w:start w:val="1"/>
      <w:numFmt w:val="lowerRoman"/>
      <w:lvlText w:val="%3."/>
      <w:lvlJc w:val="right"/>
      <w:pPr>
        <w:ind w:left="2160" w:hanging="180"/>
      </w:pPr>
    </w:lvl>
    <w:lvl w:ilvl="3" w:tplc="E834CF24">
      <w:start w:val="1"/>
      <w:numFmt w:val="decimal"/>
      <w:lvlText w:val="%4."/>
      <w:lvlJc w:val="left"/>
      <w:pPr>
        <w:ind w:left="2880" w:hanging="360"/>
      </w:pPr>
    </w:lvl>
    <w:lvl w:ilvl="4" w:tplc="13B44EC4">
      <w:start w:val="1"/>
      <w:numFmt w:val="lowerLetter"/>
      <w:lvlText w:val="%5."/>
      <w:lvlJc w:val="left"/>
      <w:pPr>
        <w:ind w:left="3600" w:hanging="360"/>
      </w:pPr>
    </w:lvl>
    <w:lvl w:ilvl="5" w:tplc="354E4C2C">
      <w:start w:val="1"/>
      <w:numFmt w:val="lowerRoman"/>
      <w:lvlText w:val="%6."/>
      <w:lvlJc w:val="right"/>
      <w:pPr>
        <w:ind w:left="4320" w:hanging="180"/>
      </w:pPr>
    </w:lvl>
    <w:lvl w:ilvl="6" w:tplc="C2FAA24A">
      <w:start w:val="1"/>
      <w:numFmt w:val="decimal"/>
      <w:lvlText w:val="%7."/>
      <w:lvlJc w:val="left"/>
      <w:pPr>
        <w:ind w:left="5040" w:hanging="360"/>
      </w:pPr>
    </w:lvl>
    <w:lvl w:ilvl="7" w:tplc="840892E8">
      <w:start w:val="1"/>
      <w:numFmt w:val="lowerLetter"/>
      <w:lvlText w:val="%8."/>
      <w:lvlJc w:val="left"/>
      <w:pPr>
        <w:ind w:left="5760" w:hanging="360"/>
      </w:pPr>
    </w:lvl>
    <w:lvl w:ilvl="8" w:tplc="67D00E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B7"/>
    <w:rsid w:val="00174474"/>
    <w:rsid w:val="0098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6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styleId="a3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e">
    <w:name w:val="No Spacing"/>
    <w:uiPriority w:val="1"/>
    <w:qFormat/>
    <w:pPr>
      <w:spacing w:after="0" w:line="240" w:lineRule="auto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pPr>
      <w:spacing w:before="200" w:after="200"/>
    </w:pPr>
  </w:style>
  <w:style w:type="character" w:customStyle="1" w:styleId="af2">
    <w:name w:val="Подзаголовок Знак"/>
    <w:basedOn w:val="a0"/>
    <w:link w:val="af1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4">
    <w:name w:val="Выделенная цитата Знак"/>
    <w:link w:val="af3"/>
    <w:uiPriority w:val="30"/>
    <w:rPr>
      <w:i/>
    </w:rPr>
  </w:style>
  <w:style w:type="paragraph" w:styleId="af5">
    <w:name w:val="head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8">
    <w:name w:val="Нижний колонтитул Знак"/>
    <w:link w:val="af7"/>
    <w:uiPriority w:val="99"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paragraph" w:styleId="afb">
    <w:name w:val="footnote text"/>
    <w:basedOn w:val="a"/>
    <w:link w:val="afc"/>
    <w:uiPriority w:val="99"/>
    <w:semiHidden/>
    <w:unhideWhenUsed/>
    <w:pPr>
      <w:spacing w:after="40"/>
    </w:pPr>
    <w:rPr>
      <w:sz w:val="18"/>
    </w:rPr>
  </w:style>
  <w:style w:type="character" w:customStyle="1" w:styleId="afc">
    <w:name w:val="Текст сноски Знак"/>
    <w:link w:val="afb"/>
    <w:uiPriority w:val="99"/>
    <w:rPr>
      <w:sz w:val="18"/>
    </w:rPr>
  </w:style>
  <w:style w:type="character" w:styleId="afd">
    <w:name w:val="footnote reference"/>
    <w:basedOn w:val="a0"/>
    <w:uiPriority w:val="99"/>
    <w:unhideWhenUsed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Pr>
      <w:sz w:val="20"/>
    </w:rPr>
  </w:style>
  <w:style w:type="character" w:customStyle="1" w:styleId="aff">
    <w:name w:val="Текст концевой сноски Знак"/>
    <w:link w:val="afe"/>
    <w:uiPriority w:val="99"/>
    <w:rPr>
      <w:sz w:val="20"/>
    </w:rPr>
  </w:style>
  <w:style w:type="character" w:styleId="af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Normal (Web)"/>
    <w:basedOn w:val="a"/>
    <w:uiPriority w:val="99"/>
    <w:semiHidden/>
    <w:unhideWhenUsed/>
  </w:style>
  <w:style w:type="paragraph" w:customStyle="1" w:styleId="12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60" w:line="312" w:lineRule="atLeast"/>
      <w:ind w:right="11" w:firstLine="420"/>
      <w:jc w:val="both"/>
    </w:pPr>
    <w:rPr>
      <w:rFonts w:ascii="Times New Roman" w:eastAsia="Times New Roman" w:hAnsi="Times New Roman" w:cs="Times New Roman"/>
      <w:color w:val="000000"/>
      <w:spacing w:val="-2"/>
      <w:sz w:val="28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6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styleId="a3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e">
    <w:name w:val="No Spacing"/>
    <w:uiPriority w:val="1"/>
    <w:qFormat/>
    <w:pPr>
      <w:spacing w:after="0" w:line="240" w:lineRule="auto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10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pPr>
      <w:spacing w:before="200" w:after="200"/>
    </w:pPr>
  </w:style>
  <w:style w:type="character" w:customStyle="1" w:styleId="af2">
    <w:name w:val="Подзаголовок Знак"/>
    <w:basedOn w:val="a0"/>
    <w:link w:val="af1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4">
    <w:name w:val="Выделенная цитата Знак"/>
    <w:link w:val="af3"/>
    <w:uiPriority w:val="30"/>
    <w:rPr>
      <w:i/>
    </w:rPr>
  </w:style>
  <w:style w:type="paragraph" w:styleId="af5">
    <w:name w:val="head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8">
    <w:name w:val="Нижний колонтитул Знак"/>
    <w:link w:val="af7"/>
    <w:uiPriority w:val="99"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paragraph" w:styleId="afb">
    <w:name w:val="footnote text"/>
    <w:basedOn w:val="a"/>
    <w:link w:val="afc"/>
    <w:uiPriority w:val="99"/>
    <w:semiHidden/>
    <w:unhideWhenUsed/>
    <w:pPr>
      <w:spacing w:after="40"/>
    </w:pPr>
    <w:rPr>
      <w:sz w:val="18"/>
    </w:rPr>
  </w:style>
  <w:style w:type="character" w:customStyle="1" w:styleId="afc">
    <w:name w:val="Текст сноски Знак"/>
    <w:link w:val="afb"/>
    <w:uiPriority w:val="99"/>
    <w:rPr>
      <w:sz w:val="18"/>
    </w:rPr>
  </w:style>
  <w:style w:type="character" w:styleId="afd">
    <w:name w:val="footnote reference"/>
    <w:basedOn w:val="a0"/>
    <w:uiPriority w:val="99"/>
    <w:unhideWhenUsed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Pr>
      <w:sz w:val="20"/>
    </w:rPr>
  </w:style>
  <w:style w:type="character" w:customStyle="1" w:styleId="aff">
    <w:name w:val="Текст концевой сноски Знак"/>
    <w:link w:val="afe"/>
    <w:uiPriority w:val="99"/>
    <w:rPr>
      <w:sz w:val="20"/>
    </w:rPr>
  </w:style>
  <w:style w:type="character" w:styleId="af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Normal (Web)"/>
    <w:basedOn w:val="a"/>
    <w:uiPriority w:val="99"/>
    <w:semiHidden/>
    <w:unhideWhenUsed/>
  </w:style>
  <w:style w:type="paragraph" w:customStyle="1" w:styleId="12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60" w:line="312" w:lineRule="atLeast"/>
      <w:ind w:right="11" w:firstLine="420"/>
      <w:jc w:val="both"/>
    </w:pPr>
    <w:rPr>
      <w:rFonts w:ascii="Times New Roman" w:eastAsia="Times New Roman" w:hAnsi="Times New Roman" w:cs="Times New Roman"/>
      <w:color w:val="000000"/>
      <w:spacing w:val="-2"/>
      <w:sz w:val="28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F0589700282FFDB6E20886F6A586AB36B67AAAFC2B48ADB582214467E5F40FD04CB11166E15641946947BF7D75333B623AD4021CCD36814U4x9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8A6DE5D2340E232D26F92EFCE4A7092BCFBFF6F5BF3FDD6BE71C61629C81A6E416FF7BCEBFB3E954C52FA28D789A490E4BBE2C006M9v5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6DE5D2340E232D26F92EFCE4A7092BCFBFF6F5BF3FDD6BE71C61629C81A6E416FF7BCEBFA3E954C52FA28D789A490E4BBE2C006M9v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B5BA6-9768-4795-833D-F95B9280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1099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Кунаева Маргарита Викторовна</dc:creator>
  <cp:lastModifiedBy>Манджиева Гилана Баатровна</cp:lastModifiedBy>
  <cp:revision>2</cp:revision>
  <dcterms:created xsi:type="dcterms:W3CDTF">2026-05-28T11:45:00Z</dcterms:created>
  <dcterms:modified xsi:type="dcterms:W3CDTF">2026-05-28T11:45:00Z</dcterms:modified>
</cp:coreProperties>
</file>